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FE7B1" w14:textId="77777777" w:rsidR="00D80BC5" w:rsidRPr="00C714C7" w:rsidRDefault="0032363C" w:rsidP="00C714C7">
      <w:pPr>
        <w:pStyle w:val="a4"/>
        <w:rPr>
          <w:rFonts w:ascii="仿宋" w:eastAsia="仿宋" w:hAnsi="仿宋"/>
        </w:rPr>
      </w:pPr>
      <w:r w:rsidRPr="00C714C7">
        <w:rPr>
          <w:rFonts w:ascii="仿宋" w:eastAsia="仿宋" w:hAnsi="仿宋"/>
        </w:rPr>
        <w:t>创业板网下投资者承诺函</w:t>
      </w:r>
    </w:p>
    <w:p w14:paraId="02D82228" w14:textId="77777777" w:rsidR="00D80BC5" w:rsidRPr="00C714C7" w:rsidRDefault="00D80BC5" w:rsidP="00C714C7">
      <w:pPr>
        <w:pStyle w:val="a3"/>
        <w:spacing w:before="2" w:line="360" w:lineRule="auto"/>
        <w:ind w:left="0"/>
        <w:rPr>
          <w:rFonts w:ascii="仿宋" w:eastAsia="仿宋" w:hAnsi="仿宋" w:cs="Times New Roman"/>
          <w:b/>
          <w:sz w:val="24"/>
          <w:szCs w:val="24"/>
        </w:rPr>
      </w:pPr>
    </w:p>
    <w:p w14:paraId="38A31C7F" w14:textId="77777777" w:rsidR="00D80BC5" w:rsidRPr="00C714C7" w:rsidRDefault="00C714C7" w:rsidP="00C714C7">
      <w:pPr>
        <w:pStyle w:val="1"/>
        <w:spacing w:line="360" w:lineRule="auto"/>
        <w:rPr>
          <w:rFonts w:ascii="仿宋" w:eastAsia="仿宋" w:hAnsi="仿宋" w:cs="Times New Roman"/>
        </w:rPr>
      </w:pPr>
      <w:r w:rsidRPr="00C714C7">
        <w:rPr>
          <w:rFonts w:ascii="仿宋" w:eastAsia="仿宋" w:hAnsi="仿宋" w:cs="Times New Roman"/>
          <w:color w:val="333333"/>
        </w:rPr>
        <w:t>华融</w:t>
      </w:r>
      <w:r w:rsidR="0032363C" w:rsidRPr="00C714C7">
        <w:rPr>
          <w:rFonts w:ascii="仿宋" w:eastAsia="仿宋" w:hAnsi="仿宋" w:cs="宋体" w:hint="eastAsia"/>
          <w:color w:val="333333"/>
        </w:rPr>
        <w:t>证券股份有限公司：</w:t>
      </w:r>
    </w:p>
    <w:p w14:paraId="6488F4F1" w14:textId="74156A54" w:rsidR="00D80BC5" w:rsidRPr="00C714C7" w:rsidRDefault="0032363C" w:rsidP="00C714C7">
      <w:pPr>
        <w:spacing w:before="10" w:line="360" w:lineRule="auto"/>
        <w:ind w:left="118" w:right="211" w:firstLine="419"/>
        <w:rPr>
          <w:rFonts w:ascii="仿宋" w:eastAsia="仿宋" w:hAnsi="仿宋" w:cs="Times New Roman"/>
          <w:sz w:val="24"/>
          <w:szCs w:val="24"/>
        </w:rPr>
      </w:pPr>
      <w:r w:rsidRPr="00C714C7">
        <w:rPr>
          <w:rFonts w:ascii="仿宋" w:eastAsia="仿宋" w:hAnsi="仿宋" w:cs="Times New Roman"/>
          <w:color w:val="333333"/>
          <w:sz w:val="24"/>
          <w:szCs w:val="24"/>
        </w:rPr>
        <w:t>本机构有意向参加贵公司主承销的</w:t>
      </w:r>
      <w:r w:rsidR="00C714C7" w:rsidRPr="00C714C7">
        <w:rPr>
          <w:rFonts w:ascii="仿宋" w:eastAsia="仿宋" w:hAnsi="仿宋" w:cs="Times New Roman"/>
          <w:b/>
          <w:sz w:val="24"/>
          <w:szCs w:val="24"/>
        </w:rPr>
        <w:t>德州联合石油科技股份有限公司</w:t>
      </w:r>
      <w:r w:rsidRPr="00C714C7">
        <w:rPr>
          <w:rFonts w:ascii="仿宋" w:eastAsia="仿宋" w:hAnsi="仿宋" w:cs="Times New Roman"/>
          <w:b/>
          <w:sz w:val="24"/>
          <w:szCs w:val="24"/>
        </w:rPr>
        <w:t>（</w:t>
      </w:r>
      <w:r w:rsidR="00C714C7" w:rsidRPr="00C714C7">
        <w:rPr>
          <w:rFonts w:ascii="仿宋" w:eastAsia="仿宋" w:hAnsi="仿宋" w:cs="Times New Roman"/>
          <w:b/>
          <w:sz w:val="24"/>
          <w:szCs w:val="24"/>
        </w:rPr>
        <w:t>股票代码：</w:t>
      </w:r>
      <w:r w:rsidR="00E06CA6">
        <w:rPr>
          <w:rFonts w:ascii="仿宋" w:eastAsia="仿宋" w:hAnsi="仿宋" w:cs="Times New Roman" w:hint="eastAsia"/>
          <w:b/>
          <w:sz w:val="24"/>
          <w:szCs w:val="24"/>
        </w:rPr>
        <w:t>3</w:t>
      </w:r>
      <w:r w:rsidR="00E06CA6">
        <w:rPr>
          <w:rFonts w:ascii="仿宋" w:eastAsia="仿宋" w:hAnsi="仿宋" w:cs="Times New Roman"/>
          <w:b/>
          <w:sz w:val="24"/>
          <w:szCs w:val="24"/>
        </w:rPr>
        <w:t>01158</w:t>
      </w:r>
      <w:r w:rsidRPr="00C714C7">
        <w:rPr>
          <w:rFonts w:ascii="仿宋" w:eastAsia="仿宋" w:hAnsi="仿宋" w:cs="Times New Roman"/>
          <w:b/>
          <w:sz w:val="24"/>
          <w:szCs w:val="24"/>
        </w:rPr>
        <w:t>）</w:t>
      </w:r>
      <w:r w:rsidRPr="00C714C7">
        <w:rPr>
          <w:rFonts w:ascii="仿宋" w:eastAsia="仿宋" w:hAnsi="仿宋" w:cs="Times New Roman"/>
          <w:color w:val="333333"/>
          <w:sz w:val="24"/>
          <w:szCs w:val="24"/>
        </w:rPr>
        <w:t>首次公开发行股票并在创业板上市的网下发行，本机构确认并承诺如下：</w:t>
      </w:r>
    </w:p>
    <w:p w14:paraId="7529BEAE" w14:textId="77777777" w:rsidR="00D80BC5" w:rsidRPr="00C714C7" w:rsidRDefault="0032363C" w:rsidP="00AF2858">
      <w:pPr>
        <w:pStyle w:val="a3"/>
        <w:spacing w:line="360" w:lineRule="auto"/>
        <w:ind w:left="0" w:firstLineChars="200" w:firstLine="478"/>
        <w:rPr>
          <w:rFonts w:ascii="仿宋" w:eastAsia="仿宋" w:hAnsi="仿宋" w:cs="Times New Roman"/>
          <w:sz w:val="24"/>
          <w:szCs w:val="24"/>
        </w:rPr>
      </w:pPr>
      <w:r w:rsidRPr="00C714C7">
        <w:rPr>
          <w:rFonts w:ascii="仿宋" w:eastAsia="仿宋" w:hAnsi="仿宋" w:cs="Times New Roman"/>
          <w:color w:val="333333"/>
          <w:spacing w:val="-1"/>
          <w:sz w:val="24"/>
          <w:szCs w:val="24"/>
        </w:rPr>
        <w:t>一、本机构符合中国证监会、中国证券业协会和</w:t>
      </w:r>
      <w:r w:rsidR="00C714C7" w:rsidRPr="00C714C7">
        <w:rPr>
          <w:rFonts w:ascii="仿宋" w:eastAsia="仿宋" w:hAnsi="仿宋" w:cs="Times New Roman"/>
          <w:color w:val="333333"/>
          <w:spacing w:val="-1"/>
          <w:sz w:val="24"/>
          <w:szCs w:val="24"/>
        </w:rPr>
        <w:t>华融</w:t>
      </w:r>
      <w:r w:rsidRPr="00C714C7">
        <w:rPr>
          <w:rFonts w:ascii="仿宋" w:eastAsia="仿宋" w:hAnsi="仿宋" w:cs="Times New Roman"/>
          <w:color w:val="333333"/>
          <w:spacing w:val="-1"/>
          <w:sz w:val="24"/>
          <w:szCs w:val="24"/>
        </w:rPr>
        <w:t>证券对网下投资者的所有要求。</w:t>
      </w:r>
    </w:p>
    <w:p w14:paraId="5D850016" w14:textId="77777777" w:rsidR="00D80BC5" w:rsidRPr="00C714C7" w:rsidRDefault="0032363C" w:rsidP="00AF2858">
      <w:pPr>
        <w:pStyle w:val="a3"/>
        <w:spacing w:line="360" w:lineRule="auto"/>
        <w:ind w:left="0" w:firstLineChars="200" w:firstLine="474"/>
        <w:rPr>
          <w:rFonts w:ascii="仿宋" w:eastAsia="仿宋" w:hAnsi="仿宋" w:cs="Times New Roman"/>
          <w:sz w:val="24"/>
          <w:szCs w:val="24"/>
        </w:rPr>
      </w:pPr>
      <w:r w:rsidRPr="00C714C7">
        <w:rPr>
          <w:rFonts w:ascii="仿宋" w:eastAsia="仿宋" w:hAnsi="仿宋" w:cs="Times New Roman"/>
          <w:color w:val="333333"/>
          <w:spacing w:val="-3"/>
          <w:sz w:val="24"/>
          <w:szCs w:val="24"/>
        </w:rPr>
        <w:t>二、本机构将严格按照证监会、证券业协会、交易所等相关规章制度从事询价及配售工</w:t>
      </w:r>
      <w:r w:rsidRPr="00C714C7">
        <w:rPr>
          <w:rFonts w:ascii="仿宋" w:eastAsia="仿宋" w:hAnsi="仿宋" w:cs="Times New Roman"/>
          <w:color w:val="333333"/>
          <w:sz w:val="24"/>
          <w:szCs w:val="24"/>
        </w:rPr>
        <w:t>作，并承担因违规操作导致的一切损失。</w:t>
      </w:r>
    </w:p>
    <w:p w14:paraId="526134F7" w14:textId="77777777" w:rsidR="00D80BC5" w:rsidRPr="00C714C7" w:rsidRDefault="0032363C" w:rsidP="00AF2858">
      <w:pPr>
        <w:pStyle w:val="a3"/>
        <w:spacing w:before="157" w:line="360" w:lineRule="auto"/>
        <w:ind w:left="0" w:firstLineChars="200" w:firstLine="476"/>
        <w:rPr>
          <w:rFonts w:ascii="仿宋" w:eastAsia="仿宋" w:hAnsi="仿宋" w:cs="Times New Roman"/>
          <w:sz w:val="24"/>
          <w:szCs w:val="24"/>
        </w:rPr>
      </w:pPr>
      <w:r w:rsidRPr="00C714C7">
        <w:rPr>
          <w:rFonts w:ascii="仿宋" w:eastAsia="仿宋" w:hAnsi="仿宋" w:cs="Times New Roman"/>
          <w:color w:val="333333"/>
          <w:spacing w:val="-2"/>
          <w:sz w:val="24"/>
          <w:szCs w:val="24"/>
        </w:rPr>
        <w:t>三、本机构依法可以进行股票投资，用于投资的资金来源合法，持续经营时间达到两年</w:t>
      </w:r>
      <w:r w:rsidRPr="00C714C7">
        <w:rPr>
          <w:rFonts w:ascii="仿宋" w:eastAsia="仿宋" w:hAnsi="仿宋" w:cs="Times New Roman"/>
          <w:color w:val="333333"/>
          <w:sz w:val="24"/>
          <w:szCs w:val="24"/>
        </w:rPr>
        <w:t>（含）</w:t>
      </w:r>
      <w:r w:rsidRPr="00C714C7">
        <w:rPr>
          <w:rFonts w:ascii="仿宋" w:eastAsia="仿宋" w:hAnsi="仿宋" w:cs="Times New Roman"/>
          <w:color w:val="333333"/>
          <w:spacing w:val="10"/>
          <w:sz w:val="24"/>
          <w:szCs w:val="24"/>
        </w:rPr>
        <w:t>以上，开展</w:t>
      </w:r>
      <w:r w:rsidRPr="00C714C7">
        <w:rPr>
          <w:rFonts w:ascii="仿宋" w:eastAsia="仿宋" w:hAnsi="仿宋" w:cs="Times New Roman"/>
          <w:color w:val="333333"/>
          <w:sz w:val="24"/>
          <w:szCs w:val="24"/>
        </w:rPr>
        <w:t>A股投资业务时间达到两年（含）以上。</w:t>
      </w:r>
    </w:p>
    <w:p w14:paraId="7639D3ED" w14:textId="77777777" w:rsidR="00D80BC5" w:rsidRPr="00C714C7" w:rsidRDefault="0032363C" w:rsidP="00AF2858">
      <w:pPr>
        <w:pStyle w:val="a3"/>
        <w:spacing w:line="360" w:lineRule="auto"/>
        <w:ind w:left="0" w:firstLineChars="200" w:firstLine="470"/>
        <w:rPr>
          <w:rFonts w:ascii="仿宋" w:eastAsia="仿宋" w:hAnsi="仿宋" w:cs="Times New Roman"/>
          <w:sz w:val="24"/>
          <w:szCs w:val="24"/>
        </w:rPr>
      </w:pPr>
      <w:r w:rsidRPr="00C714C7">
        <w:rPr>
          <w:rFonts w:ascii="仿宋" w:eastAsia="仿宋" w:hAnsi="仿宋" w:cs="Times New Roman"/>
          <w:color w:val="333333"/>
          <w:spacing w:val="-5"/>
          <w:sz w:val="24"/>
          <w:szCs w:val="24"/>
        </w:rPr>
        <w:t>四、本机构信用记录良好，最近</w:t>
      </w:r>
      <w:r w:rsidRPr="00C714C7">
        <w:rPr>
          <w:rFonts w:ascii="仿宋" w:eastAsia="仿宋" w:hAnsi="仿宋" w:cs="Times New Roman"/>
          <w:color w:val="333333"/>
          <w:spacing w:val="-1"/>
          <w:sz w:val="24"/>
          <w:szCs w:val="24"/>
        </w:rPr>
        <w:t>12</w:t>
      </w:r>
      <w:r w:rsidRPr="00C714C7">
        <w:rPr>
          <w:rFonts w:ascii="仿宋" w:eastAsia="仿宋" w:hAnsi="仿宋" w:cs="Times New Roman"/>
          <w:color w:val="333333"/>
          <w:sz w:val="24"/>
          <w:szCs w:val="24"/>
        </w:rPr>
        <w:t>个月未因重大违法违规行为被相关监管部门给予行政处罚、采取监管措施或者受到刑事处罚。</w:t>
      </w:r>
    </w:p>
    <w:p w14:paraId="23841007" w14:textId="77777777" w:rsidR="00D80BC5" w:rsidRPr="00C714C7" w:rsidRDefault="0032363C" w:rsidP="00AF2858">
      <w:pPr>
        <w:pStyle w:val="a3"/>
        <w:spacing w:before="153" w:line="360" w:lineRule="auto"/>
        <w:ind w:left="0" w:firstLineChars="200" w:firstLine="474"/>
        <w:rPr>
          <w:rFonts w:ascii="仿宋" w:eastAsia="仿宋" w:hAnsi="仿宋" w:cs="Times New Roman"/>
          <w:sz w:val="24"/>
          <w:szCs w:val="24"/>
        </w:rPr>
      </w:pPr>
      <w:r w:rsidRPr="00C714C7">
        <w:rPr>
          <w:rFonts w:ascii="仿宋" w:eastAsia="仿宋" w:hAnsi="仿宋" w:cs="Times New Roman"/>
          <w:color w:val="333333"/>
          <w:spacing w:val="-3"/>
          <w:sz w:val="24"/>
          <w:szCs w:val="24"/>
        </w:rPr>
        <w:t>五、本机构具备必要的定价能力。具有相应的研究力量、有效的估值定价模型、科学的</w:t>
      </w:r>
      <w:r w:rsidRPr="00C714C7">
        <w:rPr>
          <w:rFonts w:ascii="仿宋" w:eastAsia="仿宋" w:hAnsi="仿宋" w:cs="Times New Roman"/>
          <w:color w:val="333333"/>
          <w:sz w:val="24"/>
          <w:szCs w:val="24"/>
        </w:rPr>
        <w:t>定价决策制度和完善的合</w:t>
      </w:r>
      <w:proofErr w:type="gramStart"/>
      <w:r w:rsidRPr="00C714C7">
        <w:rPr>
          <w:rFonts w:ascii="仿宋" w:eastAsia="仿宋" w:hAnsi="仿宋" w:cs="Times New Roman"/>
          <w:color w:val="333333"/>
          <w:sz w:val="24"/>
          <w:szCs w:val="24"/>
        </w:rPr>
        <w:t>规</w:t>
      </w:r>
      <w:proofErr w:type="gramEnd"/>
      <w:r w:rsidRPr="00C714C7">
        <w:rPr>
          <w:rFonts w:ascii="仿宋" w:eastAsia="仿宋" w:hAnsi="仿宋" w:cs="Times New Roman"/>
          <w:color w:val="333333"/>
          <w:sz w:val="24"/>
          <w:szCs w:val="24"/>
        </w:rPr>
        <w:t>风控制度。</w:t>
      </w:r>
    </w:p>
    <w:p w14:paraId="1C67A9CC" w14:textId="77777777" w:rsidR="00D80BC5" w:rsidRPr="00C714C7" w:rsidRDefault="0032363C" w:rsidP="00AF2858">
      <w:pPr>
        <w:pStyle w:val="a3"/>
        <w:spacing w:before="156" w:line="360" w:lineRule="auto"/>
        <w:ind w:left="0" w:firstLineChars="200" w:firstLine="480"/>
        <w:rPr>
          <w:rFonts w:ascii="仿宋" w:eastAsia="仿宋" w:hAnsi="仿宋" w:cs="Times New Roman"/>
          <w:sz w:val="24"/>
          <w:szCs w:val="24"/>
        </w:rPr>
      </w:pPr>
      <w:r w:rsidRPr="00C714C7">
        <w:rPr>
          <w:rFonts w:ascii="仿宋" w:eastAsia="仿宋" w:hAnsi="仿宋" w:cs="Times New Roman"/>
          <w:color w:val="333333"/>
          <w:sz w:val="24"/>
          <w:szCs w:val="24"/>
        </w:rPr>
        <w:t>六、本机构所管理的拟参与本次报价的配售对象不属于：</w:t>
      </w:r>
    </w:p>
    <w:p w14:paraId="4FE9B500" w14:textId="77777777" w:rsidR="00D80BC5" w:rsidRPr="00C714C7" w:rsidRDefault="0032363C" w:rsidP="00AF2858">
      <w:pPr>
        <w:pStyle w:val="a5"/>
        <w:numPr>
          <w:ilvl w:val="0"/>
          <w:numId w:val="1"/>
        </w:numPr>
        <w:tabs>
          <w:tab w:val="left" w:pos="1079"/>
        </w:tabs>
        <w:spacing w:line="360" w:lineRule="auto"/>
        <w:ind w:left="0" w:firstLineChars="200" w:firstLine="480"/>
        <w:rPr>
          <w:rFonts w:ascii="仿宋" w:eastAsia="仿宋" w:hAnsi="仿宋" w:cs="Times New Roman"/>
          <w:sz w:val="24"/>
          <w:szCs w:val="24"/>
        </w:rPr>
      </w:pPr>
      <w:r w:rsidRPr="00C714C7">
        <w:rPr>
          <w:rFonts w:ascii="仿宋" w:eastAsia="仿宋" w:hAnsi="仿宋" w:cs="Times New Roman"/>
          <w:color w:val="333333"/>
          <w:sz w:val="24"/>
          <w:szCs w:val="24"/>
        </w:rPr>
        <w:t>债券型证券投资基金；</w:t>
      </w:r>
    </w:p>
    <w:p w14:paraId="53D19C30" w14:textId="77777777" w:rsidR="00D80BC5" w:rsidRPr="00C714C7" w:rsidRDefault="0032363C" w:rsidP="00AF2858">
      <w:pPr>
        <w:pStyle w:val="a5"/>
        <w:numPr>
          <w:ilvl w:val="0"/>
          <w:numId w:val="1"/>
        </w:numPr>
        <w:tabs>
          <w:tab w:val="left" w:pos="1079"/>
        </w:tabs>
        <w:spacing w:before="131" w:line="360" w:lineRule="auto"/>
        <w:ind w:left="0" w:firstLineChars="200" w:firstLine="480"/>
        <w:rPr>
          <w:rFonts w:ascii="仿宋" w:eastAsia="仿宋" w:hAnsi="仿宋" w:cs="Times New Roman"/>
          <w:sz w:val="24"/>
          <w:szCs w:val="24"/>
        </w:rPr>
      </w:pPr>
      <w:r w:rsidRPr="00C714C7">
        <w:rPr>
          <w:rFonts w:ascii="仿宋" w:eastAsia="仿宋" w:hAnsi="仿宋" w:cs="Times New Roman"/>
          <w:color w:val="333333"/>
          <w:sz w:val="24"/>
          <w:szCs w:val="24"/>
        </w:rPr>
        <w:t>信托计划；</w:t>
      </w:r>
    </w:p>
    <w:p w14:paraId="2B61B973" w14:textId="77777777" w:rsidR="00D80BC5" w:rsidRPr="00C714C7" w:rsidRDefault="0032363C" w:rsidP="00AF2858">
      <w:pPr>
        <w:pStyle w:val="a5"/>
        <w:numPr>
          <w:ilvl w:val="0"/>
          <w:numId w:val="1"/>
        </w:numPr>
        <w:tabs>
          <w:tab w:val="left" w:pos="1079"/>
        </w:tabs>
        <w:spacing w:before="132" w:line="360" w:lineRule="auto"/>
        <w:ind w:left="0" w:firstLineChars="200" w:firstLine="480"/>
        <w:rPr>
          <w:rFonts w:ascii="仿宋" w:eastAsia="仿宋" w:hAnsi="仿宋" w:cs="Times New Roman"/>
          <w:sz w:val="24"/>
          <w:szCs w:val="24"/>
        </w:rPr>
      </w:pPr>
      <w:r w:rsidRPr="00C714C7">
        <w:rPr>
          <w:rFonts w:ascii="仿宋" w:eastAsia="仿宋" w:hAnsi="仿宋" w:cs="Times New Roman"/>
          <w:color w:val="333333"/>
          <w:sz w:val="24"/>
          <w:szCs w:val="24"/>
        </w:rPr>
        <w:t>在招募说明书、投资协议等文件中以直接或间接方式载明以博取一、二级市场价差为目的申购首发股票的理财产品等证券投资产品。</w:t>
      </w:r>
    </w:p>
    <w:p w14:paraId="5F144CB6" w14:textId="77777777" w:rsidR="00D80BC5" w:rsidRPr="00C714C7" w:rsidRDefault="0032363C" w:rsidP="00AF2858">
      <w:pPr>
        <w:pStyle w:val="a3"/>
        <w:spacing w:before="159" w:line="360" w:lineRule="auto"/>
        <w:ind w:left="0" w:firstLineChars="200" w:firstLine="472"/>
        <w:rPr>
          <w:rFonts w:ascii="仿宋" w:eastAsia="仿宋" w:hAnsi="仿宋" w:cs="Times New Roman"/>
          <w:sz w:val="24"/>
          <w:szCs w:val="24"/>
        </w:rPr>
      </w:pPr>
      <w:r w:rsidRPr="00C714C7">
        <w:rPr>
          <w:rFonts w:ascii="仿宋" w:eastAsia="仿宋" w:hAnsi="仿宋" w:cs="Times New Roman"/>
          <w:color w:val="333333"/>
          <w:spacing w:val="-4"/>
          <w:sz w:val="24"/>
          <w:szCs w:val="24"/>
        </w:rPr>
        <w:t>七、初步询价开始前一个交易日中午</w:t>
      </w:r>
      <w:r w:rsidRPr="00C714C7">
        <w:rPr>
          <w:rFonts w:ascii="仿宋" w:eastAsia="仿宋" w:hAnsi="仿宋" w:cs="Times New Roman"/>
          <w:color w:val="333333"/>
          <w:sz w:val="24"/>
          <w:szCs w:val="24"/>
        </w:rPr>
        <w:t>12:00前在中国证券业协会完成网下投资者注册，</w:t>
      </w:r>
      <w:r w:rsidRPr="00C714C7">
        <w:rPr>
          <w:rFonts w:ascii="仿宋" w:eastAsia="仿宋" w:hAnsi="仿宋" w:cs="Times New Roman"/>
          <w:color w:val="333333"/>
          <w:spacing w:val="-4"/>
          <w:sz w:val="24"/>
          <w:szCs w:val="24"/>
        </w:rPr>
        <w:t>并已开通深交所网下发行电子平台</w:t>
      </w:r>
      <w:r w:rsidRPr="00C714C7">
        <w:rPr>
          <w:rFonts w:ascii="仿宋" w:eastAsia="仿宋" w:hAnsi="仿宋" w:cs="Times New Roman"/>
          <w:color w:val="333333"/>
          <w:sz w:val="24"/>
          <w:szCs w:val="24"/>
        </w:rPr>
        <w:t>CA证书。</w:t>
      </w:r>
    </w:p>
    <w:p w14:paraId="28CFDD73"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八、本机构具备一定的资产管理实力。私募基金管理人基金管理总规模连续2个季度10亿元以上，且管理的产品中至少有一只存续期2年以上的产品；申请注册的私募基金产品规模应为6,000万以上，</w:t>
      </w:r>
      <w:proofErr w:type="gramStart"/>
      <w:r w:rsidRPr="00C714C7">
        <w:rPr>
          <w:rFonts w:ascii="仿宋" w:eastAsia="仿宋" w:hAnsi="仿宋" w:cs="Times New Roman"/>
          <w:color w:val="333333"/>
          <w:spacing w:val="-4"/>
          <w:sz w:val="24"/>
          <w:szCs w:val="24"/>
        </w:rPr>
        <w:t>且委托</w:t>
      </w:r>
      <w:proofErr w:type="gramEnd"/>
      <w:r w:rsidRPr="00C714C7">
        <w:rPr>
          <w:rFonts w:ascii="仿宋" w:eastAsia="仿宋" w:hAnsi="仿宋" w:cs="Times New Roman"/>
          <w:color w:val="333333"/>
          <w:spacing w:val="-4"/>
          <w:sz w:val="24"/>
          <w:szCs w:val="24"/>
        </w:rPr>
        <w:t>第三方托管人独立托管基金资产。其中，私募基金产品规模是指基金产品资产净值。</w:t>
      </w:r>
    </w:p>
    <w:p w14:paraId="496F5DDE"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九、参与本次战略配售的投资者不得参与本次公开发行股票网上与网下发行，</w:t>
      </w:r>
      <w:r w:rsidRPr="00C714C7">
        <w:rPr>
          <w:rFonts w:ascii="仿宋" w:eastAsia="仿宋" w:hAnsi="仿宋" w:cs="Times New Roman"/>
          <w:color w:val="333333"/>
          <w:spacing w:val="-4"/>
          <w:sz w:val="24"/>
          <w:szCs w:val="24"/>
        </w:rPr>
        <w:lastRenderedPageBreak/>
        <w:t>但证券投资基金管理人管理的未参与战略配售的证券投资基金除外。</w:t>
      </w:r>
    </w:p>
    <w:p w14:paraId="5070E65D"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十、本机构不存在《证券发行与承销管理办法》第十六条规定的下列情形：</w:t>
      </w:r>
    </w:p>
    <w:p w14:paraId="16425A06"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1、发行人及其股东、实际控制人、董事、监事、高级管理人员和其他员工；发行人及其股东、实际控制人、董事、监事、高级管理人员能够直接或间接实施控制、共同控制或施加重大影响的公司，以及该公司控股股东、控股子公司和控股股东控制的其他子公司；</w:t>
      </w:r>
    </w:p>
    <w:p w14:paraId="0A8462A9"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2、主承销商及其持股比例5%以上的股东，主承销商的董事、监事、高级管理人员和其他员工；主承销商及其持股比例5%以上的股东、董事、监事、高级管理人员能够直接或间接实施控制、共同控制或施加重大影响的公司，以及该公司控股股东、控股子公司和控股股东控制的其他子公司；</w:t>
      </w:r>
    </w:p>
    <w:p w14:paraId="13C9B601"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3、承销商及其控股股东、董事、监事、高级管理人员和其他员工；</w:t>
      </w:r>
    </w:p>
    <w:p w14:paraId="3C57F837"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4、本条第1、2、3项所述人士的关系密切的家庭成员，包括配偶、子女及其配偶、父母及配偶的父母、兄弟姐妹及其配偶、配偶的兄弟姐妹、子女配偶的父母；</w:t>
      </w:r>
    </w:p>
    <w:p w14:paraId="15DA2422"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5、过去6个月内与主承销</w:t>
      </w:r>
      <w:proofErr w:type="gramStart"/>
      <w:r w:rsidRPr="00C714C7">
        <w:rPr>
          <w:rFonts w:ascii="仿宋" w:eastAsia="仿宋" w:hAnsi="仿宋" w:cs="Times New Roman"/>
          <w:color w:val="333333"/>
          <w:spacing w:val="-4"/>
          <w:sz w:val="24"/>
          <w:szCs w:val="24"/>
        </w:rPr>
        <w:t>商存在</w:t>
      </w:r>
      <w:proofErr w:type="gramEnd"/>
      <w:r w:rsidRPr="00C714C7">
        <w:rPr>
          <w:rFonts w:ascii="仿宋" w:eastAsia="仿宋" w:hAnsi="仿宋" w:cs="Times New Roman"/>
          <w:color w:val="333333"/>
          <w:spacing w:val="-4"/>
          <w:sz w:val="24"/>
          <w:szCs w:val="24"/>
        </w:rPr>
        <w:t>保荐、承销业务关系的公司及其持股5%以上的股东、实际控制人、董事、监事、高级管理人员，或已与主承销商签署保荐、承销业务合同或达成相关意向的公司及其持股5%以上的股东、实际控制人、董事、监事、高级管理人员；</w:t>
      </w:r>
    </w:p>
    <w:p w14:paraId="6CA8F122"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6、通过配售可能导致不当行为或不正当利益的其他自然人、法人和组织；</w:t>
      </w:r>
    </w:p>
    <w:p w14:paraId="28379BD1"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本条第2、3项规定的禁止配售对象管理的公</w:t>
      </w:r>
      <w:proofErr w:type="gramStart"/>
      <w:r w:rsidRPr="00C714C7">
        <w:rPr>
          <w:rFonts w:ascii="仿宋" w:eastAsia="仿宋" w:hAnsi="仿宋" w:cs="Times New Roman"/>
          <w:color w:val="333333"/>
          <w:spacing w:val="-4"/>
          <w:sz w:val="24"/>
          <w:szCs w:val="24"/>
        </w:rPr>
        <w:t>募基金</w:t>
      </w:r>
      <w:proofErr w:type="gramEnd"/>
      <w:r w:rsidRPr="00C714C7">
        <w:rPr>
          <w:rFonts w:ascii="仿宋" w:eastAsia="仿宋" w:hAnsi="仿宋" w:cs="Times New Roman"/>
          <w:color w:val="333333"/>
          <w:spacing w:val="-4"/>
          <w:sz w:val="24"/>
          <w:szCs w:val="24"/>
        </w:rPr>
        <w:t>不受前款规定的限制，但应符合中国证监会的有关规定。</w:t>
      </w:r>
    </w:p>
    <w:p w14:paraId="78615B24" w14:textId="77777777" w:rsidR="00D80BC5" w:rsidRPr="00C714C7" w:rsidRDefault="0032363C" w:rsidP="00AF2858">
      <w:pPr>
        <w:pStyle w:val="a3"/>
        <w:spacing w:before="159" w:line="360" w:lineRule="auto"/>
        <w:ind w:left="0" w:firstLineChars="200" w:firstLine="474"/>
        <w:rPr>
          <w:rFonts w:ascii="仿宋" w:eastAsia="仿宋" w:hAnsi="仿宋" w:cs="Times New Roman"/>
          <w:b/>
          <w:color w:val="333333"/>
          <w:spacing w:val="-4"/>
          <w:sz w:val="24"/>
          <w:szCs w:val="24"/>
        </w:rPr>
      </w:pPr>
      <w:r w:rsidRPr="00C714C7">
        <w:rPr>
          <w:rFonts w:ascii="仿宋" w:eastAsia="仿宋" w:hAnsi="仿宋" w:cs="Times New Roman"/>
          <w:b/>
          <w:color w:val="333333"/>
          <w:spacing w:val="-4"/>
          <w:sz w:val="24"/>
          <w:szCs w:val="24"/>
        </w:rPr>
        <w:t>十一、本机构承诺所管理的配售对象遵守行业监管要求，申购金额不超过本机构提交的资产规模或资金规模金额及资产规模或资金规模证明材料金额。</w:t>
      </w:r>
    </w:p>
    <w:p w14:paraId="49F27973" w14:textId="77777777" w:rsidR="00D80BC5" w:rsidRPr="00C714C7" w:rsidRDefault="0032363C" w:rsidP="00AF2858">
      <w:pPr>
        <w:pStyle w:val="a3"/>
        <w:spacing w:before="159" w:line="360" w:lineRule="auto"/>
        <w:ind w:left="0" w:firstLineChars="200" w:firstLine="474"/>
        <w:rPr>
          <w:rFonts w:ascii="仿宋" w:eastAsia="仿宋" w:hAnsi="仿宋" w:cs="Times New Roman"/>
          <w:b/>
          <w:color w:val="333333"/>
          <w:spacing w:val="-4"/>
          <w:sz w:val="24"/>
          <w:szCs w:val="24"/>
        </w:rPr>
      </w:pPr>
      <w:r w:rsidRPr="00C714C7">
        <w:rPr>
          <w:rFonts w:ascii="仿宋" w:eastAsia="仿宋" w:hAnsi="仿宋" w:cs="Times New Roman"/>
          <w:b/>
          <w:color w:val="333333"/>
          <w:spacing w:val="-4"/>
          <w:sz w:val="24"/>
          <w:szCs w:val="24"/>
        </w:rPr>
        <w:t>十二、本机构承诺报价即视为接受本次发行的网</w:t>
      </w:r>
      <w:proofErr w:type="gramStart"/>
      <w:r w:rsidRPr="00C714C7">
        <w:rPr>
          <w:rFonts w:ascii="仿宋" w:eastAsia="仿宋" w:hAnsi="仿宋" w:cs="Times New Roman"/>
          <w:b/>
          <w:color w:val="333333"/>
          <w:spacing w:val="-4"/>
          <w:sz w:val="24"/>
          <w:szCs w:val="24"/>
        </w:rPr>
        <w:t>下限售期安排</w:t>
      </w:r>
      <w:proofErr w:type="gramEnd"/>
      <w:r w:rsidRPr="00C714C7">
        <w:rPr>
          <w:rFonts w:ascii="仿宋" w:eastAsia="仿宋" w:hAnsi="仿宋" w:cs="Times New Roman"/>
          <w:b/>
          <w:color w:val="333333"/>
          <w:spacing w:val="-4"/>
          <w:sz w:val="24"/>
          <w:szCs w:val="24"/>
        </w:rPr>
        <w:t>。参与本次发行初步询价并最终获得网下配售的配售对象，所获配股票数量的10%（向上取整计算）限售期限为自发行人首次公开发行并上市之日起6个月。</w:t>
      </w:r>
    </w:p>
    <w:p w14:paraId="762A16E7"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十三、本机构承诺积极配合</w:t>
      </w:r>
      <w:r w:rsidR="00C714C7" w:rsidRPr="00C714C7">
        <w:rPr>
          <w:rFonts w:ascii="仿宋" w:eastAsia="仿宋" w:hAnsi="仿宋" w:cs="Times New Roman"/>
          <w:color w:val="333333"/>
          <w:spacing w:val="-4"/>
          <w:sz w:val="24"/>
          <w:szCs w:val="24"/>
        </w:rPr>
        <w:t>华融</w:t>
      </w:r>
      <w:r w:rsidRPr="00C714C7">
        <w:rPr>
          <w:rFonts w:ascii="仿宋" w:eastAsia="仿宋" w:hAnsi="仿宋" w:cs="Times New Roman"/>
          <w:color w:val="333333"/>
          <w:spacing w:val="-4"/>
          <w:sz w:val="24"/>
          <w:szCs w:val="24"/>
        </w:rPr>
        <w:t>证券的网下投资者合</w:t>
      </w:r>
      <w:proofErr w:type="gramStart"/>
      <w:r w:rsidRPr="00C714C7">
        <w:rPr>
          <w:rFonts w:ascii="仿宋" w:eastAsia="仿宋" w:hAnsi="仿宋" w:cs="Times New Roman"/>
          <w:color w:val="333333"/>
          <w:spacing w:val="-4"/>
          <w:sz w:val="24"/>
          <w:szCs w:val="24"/>
        </w:rPr>
        <w:t>规</w:t>
      </w:r>
      <w:proofErr w:type="gramEnd"/>
      <w:r w:rsidRPr="00C714C7">
        <w:rPr>
          <w:rFonts w:ascii="仿宋" w:eastAsia="仿宋" w:hAnsi="仿宋" w:cs="Times New Roman"/>
          <w:color w:val="333333"/>
          <w:spacing w:val="-4"/>
          <w:sz w:val="24"/>
          <w:szCs w:val="24"/>
        </w:rPr>
        <w:t>核查，自</w:t>
      </w:r>
      <w:proofErr w:type="gramStart"/>
      <w:r w:rsidRPr="00C714C7">
        <w:rPr>
          <w:rFonts w:ascii="仿宋" w:eastAsia="仿宋" w:hAnsi="仿宋" w:cs="Times New Roman"/>
          <w:color w:val="333333"/>
          <w:spacing w:val="-4"/>
          <w:sz w:val="24"/>
          <w:szCs w:val="24"/>
        </w:rPr>
        <w:t>本承诺</w:t>
      </w:r>
      <w:proofErr w:type="gramEnd"/>
      <w:r w:rsidRPr="00C714C7">
        <w:rPr>
          <w:rFonts w:ascii="仿宋" w:eastAsia="仿宋" w:hAnsi="仿宋" w:cs="Times New Roman"/>
          <w:color w:val="333333"/>
          <w:spacing w:val="-4"/>
          <w:sz w:val="24"/>
          <w:szCs w:val="24"/>
        </w:rPr>
        <w:t>函出具之日起，及后续在参与</w:t>
      </w:r>
      <w:r w:rsidR="00C714C7" w:rsidRPr="00C714C7">
        <w:rPr>
          <w:rFonts w:ascii="仿宋" w:eastAsia="仿宋" w:hAnsi="仿宋" w:cs="Times New Roman"/>
          <w:color w:val="333333"/>
          <w:spacing w:val="-4"/>
          <w:sz w:val="24"/>
          <w:szCs w:val="24"/>
        </w:rPr>
        <w:t>华融</w:t>
      </w:r>
      <w:r w:rsidRPr="00C714C7">
        <w:rPr>
          <w:rFonts w:ascii="仿宋" w:eastAsia="仿宋" w:hAnsi="仿宋" w:cs="Times New Roman"/>
          <w:color w:val="333333"/>
          <w:spacing w:val="-4"/>
          <w:sz w:val="24"/>
          <w:szCs w:val="24"/>
        </w:rPr>
        <w:t>证券主承销新股项目过程中，如向</w:t>
      </w:r>
      <w:r w:rsidR="00C714C7" w:rsidRPr="00C714C7">
        <w:rPr>
          <w:rFonts w:ascii="仿宋" w:eastAsia="仿宋" w:hAnsi="仿宋" w:cs="Times New Roman"/>
          <w:color w:val="333333"/>
          <w:spacing w:val="-4"/>
          <w:sz w:val="24"/>
          <w:szCs w:val="24"/>
        </w:rPr>
        <w:t>华融</w:t>
      </w:r>
      <w:r w:rsidRPr="00C714C7">
        <w:rPr>
          <w:rFonts w:ascii="仿宋" w:eastAsia="仿宋" w:hAnsi="仿宋" w:cs="Times New Roman"/>
          <w:color w:val="333333"/>
          <w:spacing w:val="-4"/>
          <w:sz w:val="24"/>
          <w:szCs w:val="24"/>
        </w:rPr>
        <w:t>证券提供的《网</w:t>
      </w:r>
      <w:r w:rsidRPr="00C714C7">
        <w:rPr>
          <w:rFonts w:ascii="仿宋" w:eastAsia="仿宋" w:hAnsi="仿宋" w:cs="Times New Roman"/>
          <w:color w:val="333333"/>
          <w:spacing w:val="-4"/>
          <w:sz w:val="24"/>
          <w:szCs w:val="24"/>
        </w:rPr>
        <w:lastRenderedPageBreak/>
        <w:t>下投资者基本信息表》所载信息有变更，本机构将在知道变更事项发生或可能发生时，即时告知</w:t>
      </w:r>
      <w:r w:rsidR="00C714C7" w:rsidRPr="00C714C7">
        <w:rPr>
          <w:rFonts w:ascii="仿宋" w:eastAsia="仿宋" w:hAnsi="仿宋" w:cs="Times New Roman"/>
          <w:color w:val="333333"/>
          <w:spacing w:val="-4"/>
          <w:sz w:val="24"/>
          <w:szCs w:val="24"/>
        </w:rPr>
        <w:t>华融</w:t>
      </w:r>
      <w:r w:rsidRPr="00C714C7">
        <w:rPr>
          <w:rFonts w:ascii="仿宋" w:eastAsia="仿宋" w:hAnsi="仿宋" w:cs="Times New Roman"/>
          <w:color w:val="333333"/>
          <w:spacing w:val="-4"/>
          <w:sz w:val="24"/>
          <w:szCs w:val="24"/>
        </w:rPr>
        <w:t>证券。</w:t>
      </w:r>
    </w:p>
    <w:p w14:paraId="47BD8BDC"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十四、本机构承诺已如实提供了本次网下发行所需的全部文件，提交给</w:t>
      </w:r>
      <w:r w:rsidR="00C714C7" w:rsidRPr="00C714C7">
        <w:rPr>
          <w:rFonts w:ascii="仿宋" w:eastAsia="仿宋" w:hAnsi="仿宋" w:cs="Times New Roman"/>
          <w:color w:val="333333"/>
          <w:spacing w:val="-4"/>
          <w:sz w:val="24"/>
          <w:szCs w:val="24"/>
        </w:rPr>
        <w:t>华融</w:t>
      </w:r>
      <w:r w:rsidRPr="00C714C7">
        <w:rPr>
          <w:rFonts w:ascii="仿宋" w:eastAsia="仿宋" w:hAnsi="仿宋" w:cs="Times New Roman"/>
          <w:color w:val="333333"/>
          <w:spacing w:val="-4"/>
          <w:sz w:val="24"/>
          <w:szCs w:val="24"/>
        </w:rPr>
        <w:t>证券的网下投资者报备资料电子版与纸质签章版内容一致，所有信息真实、准确、完整，并承担因提供资料虚假所产生的一切责任。</w:t>
      </w:r>
    </w:p>
    <w:p w14:paraId="4DAB5F26" w14:textId="77777777" w:rsidR="00D80BC5" w:rsidRPr="00C714C7" w:rsidRDefault="0032363C" w:rsidP="00AF2858">
      <w:pPr>
        <w:pStyle w:val="a3"/>
        <w:spacing w:before="159" w:line="360" w:lineRule="auto"/>
        <w:ind w:left="0" w:firstLineChars="200" w:firstLine="472"/>
        <w:rPr>
          <w:rFonts w:ascii="仿宋" w:eastAsia="仿宋" w:hAnsi="仿宋" w:cs="Times New Roman"/>
          <w:color w:val="333333"/>
          <w:spacing w:val="-4"/>
          <w:sz w:val="24"/>
          <w:szCs w:val="24"/>
        </w:rPr>
      </w:pPr>
      <w:r w:rsidRPr="00C714C7">
        <w:rPr>
          <w:rFonts w:ascii="仿宋" w:eastAsia="仿宋" w:hAnsi="仿宋" w:cs="Times New Roman"/>
          <w:color w:val="333333"/>
          <w:spacing w:val="-4"/>
          <w:sz w:val="24"/>
          <w:szCs w:val="24"/>
        </w:rPr>
        <w:t>若违反上述事项，本机构承诺承担相应法律责任，并承担由此给其他投资者、发行人、承销商带来的一切损失。</w:t>
      </w:r>
    </w:p>
    <w:p w14:paraId="426E01AE" w14:textId="77777777" w:rsidR="00D80BC5" w:rsidRPr="00C714C7" w:rsidRDefault="00D80BC5" w:rsidP="00AF2858">
      <w:pPr>
        <w:pStyle w:val="a3"/>
        <w:spacing w:line="360" w:lineRule="auto"/>
        <w:ind w:left="0" w:firstLineChars="200" w:firstLine="480"/>
        <w:rPr>
          <w:rFonts w:ascii="仿宋" w:eastAsia="仿宋" w:hAnsi="仿宋" w:cs="Times New Roman"/>
          <w:sz w:val="24"/>
          <w:szCs w:val="24"/>
        </w:rPr>
      </w:pPr>
    </w:p>
    <w:p w14:paraId="114357FD" w14:textId="77777777" w:rsidR="00D80BC5" w:rsidRPr="00C714C7" w:rsidRDefault="00D80BC5" w:rsidP="00AF2858">
      <w:pPr>
        <w:pStyle w:val="a3"/>
        <w:spacing w:before="5" w:line="360" w:lineRule="auto"/>
        <w:ind w:left="0" w:firstLineChars="200" w:firstLine="480"/>
        <w:rPr>
          <w:rFonts w:ascii="仿宋" w:eastAsia="仿宋" w:hAnsi="仿宋" w:cs="Times New Roman"/>
          <w:sz w:val="24"/>
          <w:szCs w:val="24"/>
        </w:rPr>
      </w:pPr>
    </w:p>
    <w:p w14:paraId="5F934E57" w14:textId="77777777" w:rsidR="00D80BC5" w:rsidRPr="00C714C7" w:rsidRDefault="0032363C" w:rsidP="00AF2858">
      <w:pPr>
        <w:pStyle w:val="1"/>
        <w:spacing w:before="1" w:line="360" w:lineRule="auto"/>
        <w:ind w:left="0" w:firstLineChars="200" w:firstLine="482"/>
        <w:rPr>
          <w:rFonts w:ascii="仿宋" w:eastAsia="仿宋" w:hAnsi="仿宋" w:cs="Times New Roman"/>
        </w:rPr>
      </w:pPr>
      <w:r w:rsidRPr="00C714C7">
        <w:rPr>
          <w:rFonts w:ascii="仿宋" w:eastAsia="仿宋" w:hAnsi="仿宋" w:cs="宋体" w:hint="eastAsia"/>
        </w:rPr>
        <w:t>机构名称（加盖公章</w:t>
      </w:r>
      <w:r w:rsidRPr="00C714C7">
        <w:rPr>
          <w:rFonts w:ascii="仿宋" w:eastAsia="仿宋" w:hAnsi="仿宋" w:cs="宋体" w:hint="eastAsia"/>
          <w:spacing w:val="-120"/>
        </w:rPr>
        <w:t>）</w:t>
      </w:r>
      <w:r w:rsidRPr="00C714C7">
        <w:rPr>
          <w:rFonts w:ascii="仿宋" w:eastAsia="仿宋" w:hAnsi="仿宋" w:cs="宋体" w:hint="eastAsia"/>
        </w:rPr>
        <w:t>：</w:t>
      </w:r>
    </w:p>
    <w:p w14:paraId="313139BF" w14:textId="77777777" w:rsidR="00D80BC5" w:rsidRPr="00C714C7" w:rsidRDefault="00D80BC5" w:rsidP="00AF2858">
      <w:pPr>
        <w:pStyle w:val="a3"/>
        <w:spacing w:before="4" w:line="360" w:lineRule="auto"/>
        <w:ind w:left="0" w:firstLineChars="200" w:firstLine="482"/>
        <w:rPr>
          <w:rFonts w:ascii="仿宋" w:eastAsia="仿宋" w:hAnsi="仿宋" w:cs="Times New Roman"/>
          <w:b/>
          <w:sz w:val="24"/>
          <w:szCs w:val="24"/>
        </w:rPr>
      </w:pPr>
    </w:p>
    <w:p w14:paraId="48811B92" w14:textId="506D7E62" w:rsidR="00D80BC5" w:rsidRPr="00C714C7" w:rsidRDefault="0032363C" w:rsidP="00F95896">
      <w:pPr>
        <w:pStyle w:val="a3"/>
        <w:tabs>
          <w:tab w:val="left" w:pos="2427"/>
        </w:tabs>
        <w:spacing w:line="360" w:lineRule="auto"/>
        <w:ind w:left="0" w:firstLineChars="600" w:firstLine="1440"/>
        <w:rPr>
          <w:rFonts w:ascii="仿宋" w:eastAsia="仿宋" w:hAnsi="仿宋" w:cs="Times New Roman"/>
          <w:sz w:val="24"/>
          <w:szCs w:val="24"/>
        </w:rPr>
      </w:pPr>
      <w:r w:rsidRPr="00C714C7">
        <w:rPr>
          <w:rFonts w:ascii="仿宋" w:eastAsia="仿宋" w:hAnsi="仿宋" w:cs="Times New Roman"/>
          <w:sz w:val="24"/>
          <w:szCs w:val="24"/>
        </w:rPr>
        <w:t>年</w:t>
      </w:r>
      <w:r w:rsidRPr="00C714C7">
        <w:rPr>
          <w:rFonts w:ascii="仿宋" w:eastAsia="仿宋" w:hAnsi="仿宋" w:cs="Times New Roman"/>
          <w:sz w:val="24"/>
          <w:szCs w:val="24"/>
        </w:rPr>
        <w:tab/>
      </w:r>
      <w:r w:rsidR="00F95896">
        <w:rPr>
          <w:rFonts w:ascii="仿宋" w:eastAsia="仿宋" w:hAnsi="仿宋" w:cs="Times New Roman"/>
          <w:sz w:val="24"/>
          <w:szCs w:val="24"/>
        </w:rPr>
        <w:t xml:space="preserve">   </w:t>
      </w:r>
      <w:r w:rsidRPr="00C714C7">
        <w:rPr>
          <w:rFonts w:ascii="仿宋" w:eastAsia="仿宋" w:hAnsi="仿宋" w:cs="Times New Roman"/>
          <w:sz w:val="24"/>
          <w:szCs w:val="24"/>
        </w:rPr>
        <w:t>月</w:t>
      </w:r>
      <w:r w:rsidR="00AF2858">
        <w:rPr>
          <w:rFonts w:ascii="仿宋" w:eastAsia="仿宋" w:hAnsi="仿宋" w:cs="Times New Roman" w:hint="eastAsia"/>
          <w:sz w:val="24"/>
          <w:szCs w:val="24"/>
        </w:rPr>
        <w:t xml:space="preserve"> </w:t>
      </w:r>
      <w:r w:rsidR="00AF2858">
        <w:rPr>
          <w:rFonts w:ascii="仿宋" w:eastAsia="仿宋" w:hAnsi="仿宋" w:cs="Times New Roman"/>
          <w:sz w:val="24"/>
          <w:szCs w:val="24"/>
        </w:rPr>
        <w:t xml:space="preserve">    </w:t>
      </w:r>
      <w:r w:rsidRPr="00C714C7">
        <w:rPr>
          <w:rFonts w:ascii="仿宋" w:eastAsia="仿宋" w:hAnsi="仿宋" w:cs="Times New Roman"/>
          <w:sz w:val="24"/>
          <w:szCs w:val="24"/>
        </w:rPr>
        <w:tab/>
        <w:t>日</w:t>
      </w:r>
    </w:p>
    <w:sectPr w:rsidR="00D80BC5" w:rsidRPr="00C714C7">
      <w:footerReference w:type="default" r:id="rId7"/>
      <w:pgSz w:w="11910" w:h="16840"/>
      <w:pgMar w:top="1280" w:right="1580" w:bottom="940" w:left="1680" w:header="0" w:footer="7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946F2" w14:textId="77777777" w:rsidR="004577FD" w:rsidRDefault="004577FD">
      <w:r>
        <w:separator/>
      </w:r>
    </w:p>
  </w:endnote>
  <w:endnote w:type="continuationSeparator" w:id="0">
    <w:p w14:paraId="70AD95EE" w14:textId="77777777" w:rsidR="004577FD" w:rsidRDefault="0045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B787" w14:textId="77777777" w:rsidR="00D80BC5" w:rsidRDefault="004577FD">
    <w:pPr>
      <w:pStyle w:val="a3"/>
      <w:spacing w:line="14" w:lineRule="auto"/>
      <w:ind w:left="0"/>
      <w:rPr>
        <w:sz w:val="20"/>
      </w:rPr>
    </w:pPr>
    <w:r>
      <w:pict w14:anchorId="2D84D3E6">
        <v:shapetype id="_x0000_t202" coordsize="21600,21600" o:spt="202" path="m,l,21600r21600,l21600,xe">
          <v:stroke joinstyle="miter"/>
          <v:path gradientshapeok="t" o:connecttype="rect"/>
        </v:shapetype>
        <v:shape id="_x0000_s1025" type="#_x0000_t202" style="position:absolute;margin-left:292.35pt;margin-top:793.05pt;width:10.5pt;height:12pt;z-index:-251658752;mso-position-horizontal-relative:page;mso-position-vertical-relative:page" filled="f" stroked="f">
          <v:textbox inset="0,0,0,0">
            <w:txbxContent>
              <w:p w14:paraId="5BC1E609" w14:textId="77777777" w:rsidR="00D80BC5" w:rsidRDefault="0032363C">
                <w:pPr>
                  <w:spacing w:before="12"/>
                  <w:ind w:left="60"/>
                  <w:rPr>
                    <w:rFonts w:ascii="Times New Roman"/>
                    <w:sz w:val="18"/>
                  </w:rPr>
                </w:pPr>
                <w:r>
                  <w:fldChar w:fldCharType="begin"/>
                </w:r>
                <w:r>
                  <w:rPr>
                    <w:rFonts w:ascii="Times New Roman"/>
                    <w:sz w:val="18"/>
                  </w:rPr>
                  <w:instrText xml:space="preserve"> PAGE </w:instrText>
                </w:r>
                <w:r>
                  <w:fldChar w:fldCharType="separate"/>
                </w:r>
                <w:r w:rsidR="00C714C7">
                  <w:rPr>
                    <w:rFonts w:ascii="Times New Roman"/>
                    <w:noProof/>
                    <w:sz w:val="18"/>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DCEA" w14:textId="77777777" w:rsidR="004577FD" w:rsidRDefault="004577FD">
      <w:r>
        <w:separator/>
      </w:r>
    </w:p>
  </w:footnote>
  <w:footnote w:type="continuationSeparator" w:id="0">
    <w:p w14:paraId="76D189A3" w14:textId="77777777" w:rsidR="004577FD" w:rsidRDefault="00457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31C32"/>
    <w:multiLevelType w:val="hybridMultilevel"/>
    <w:tmpl w:val="D52A4044"/>
    <w:lvl w:ilvl="0" w:tplc="C3E47AA8">
      <w:start w:val="1"/>
      <w:numFmt w:val="decimal"/>
      <w:lvlText w:val="（%1）"/>
      <w:lvlJc w:val="left"/>
      <w:pPr>
        <w:ind w:left="1079" w:hanging="541"/>
        <w:jc w:val="left"/>
      </w:pPr>
      <w:rPr>
        <w:rFonts w:ascii="宋体" w:eastAsia="宋体" w:hAnsi="宋体" w:cs="宋体" w:hint="default"/>
        <w:color w:val="333333"/>
        <w:spacing w:val="-3"/>
        <w:w w:val="100"/>
        <w:sz w:val="19"/>
        <w:szCs w:val="19"/>
        <w:lang w:val="en-US" w:eastAsia="zh-CN" w:bidi="ar-SA"/>
      </w:rPr>
    </w:lvl>
    <w:lvl w:ilvl="1" w:tplc="ED3839B4">
      <w:numFmt w:val="bullet"/>
      <w:lvlText w:val="•"/>
      <w:lvlJc w:val="left"/>
      <w:pPr>
        <w:ind w:left="1836" w:hanging="541"/>
      </w:pPr>
      <w:rPr>
        <w:rFonts w:hint="default"/>
        <w:lang w:val="en-US" w:eastAsia="zh-CN" w:bidi="ar-SA"/>
      </w:rPr>
    </w:lvl>
    <w:lvl w:ilvl="2" w:tplc="2B3E52C6">
      <w:numFmt w:val="bullet"/>
      <w:lvlText w:val="•"/>
      <w:lvlJc w:val="left"/>
      <w:pPr>
        <w:ind w:left="2593" w:hanging="541"/>
      </w:pPr>
      <w:rPr>
        <w:rFonts w:hint="default"/>
        <w:lang w:val="en-US" w:eastAsia="zh-CN" w:bidi="ar-SA"/>
      </w:rPr>
    </w:lvl>
    <w:lvl w:ilvl="3" w:tplc="ED209BC4">
      <w:numFmt w:val="bullet"/>
      <w:lvlText w:val="•"/>
      <w:lvlJc w:val="left"/>
      <w:pPr>
        <w:ind w:left="3349" w:hanging="541"/>
      </w:pPr>
      <w:rPr>
        <w:rFonts w:hint="default"/>
        <w:lang w:val="en-US" w:eastAsia="zh-CN" w:bidi="ar-SA"/>
      </w:rPr>
    </w:lvl>
    <w:lvl w:ilvl="4" w:tplc="54D873FA">
      <w:numFmt w:val="bullet"/>
      <w:lvlText w:val="•"/>
      <w:lvlJc w:val="left"/>
      <w:pPr>
        <w:ind w:left="4106" w:hanging="541"/>
      </w:pPr>
      <w:rPr>
        <w:rFonts w:hint="default"/>
        <w:lang w:val="en-US" w:eastAsia="zh-CN" w:bidi="ar-SA"/>
      </w:rPr>
    </w:lvl>
    <w:lvl w:ilvl="5" w:tplc="C7D86258">
      <w:numFmt w:val="bullet"/>
      <w:lvlText w:val="•"/>
      <w:lvlJc w:val="left"/>
      <w:pPr>
        <w:ind w:left="4863" w:hanging="541"/>
      </w:pPr>
      <w:rPr>
        <w:rFonts w:hint="default"/>
        <w:lang w:val="en-US" w:eastAsia="zh-CN" w:bidi="ar-SA"/>
      </w:rPr>
    </w:lvl>
    <w:lvl w:ilvl="6" w:tplc="62362882">
      <w:numFmt w:val="bullet"/>
      <w:lvlText w:val="•"/>
      <w:lvlJc w:val="left"/>
      <w:pPr>
        <w:ind w:left="5619" w:hanging="541"/>
      </w:pPr>
      <w:rPr>
        <w:rFonts w:hint="default"/>
        <w:lang w:val="en-US" w:eastAsia="zh-CN" w:bidi="ar-SA"/>
      </w:rPr>
    </w:lvl>
    <w:lvl w:ilvl="7" w:tplc="48D6CCA6">
      <w:numFmt w:val="bullet"/>
      <w:lvlText w:val="•"/>
      <w:lvlJc w:val="left"/>
      <w:pPr>
        <w:ind w:left="6376" w:hanging="541"/>
      </w:pPr>
      <w:rPr>
        <w:rFonts w:hint="default"/>
        <w:lang w:val="en-US" w:eastAsia="zh-CN" w:bidi="ar-SA"/>
      </w:rPr>
    </w:lvl>
    <w:lvl w:ilvl="8" w:tplc="8C8082C8">
      <w:numFmt w:val="bullet"/>
      <w:lvlText w:val="•"/>
      <w:lvlJc w:val="left"/>
      <w:pPr>
        <w:ind w:left="7133" w:hanging="541"/>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80BC5"/>
    <w:rsid w:val="000E1997"/>
    <w:rsid w:val="0032363C"/>
    <w:rsid w:val="003348CD"/>
    <w:rsid w:val="004577FD"/>
    <w:rsid w:val="00AF2858"/>
    <w:rsid w:val="00C714C7"/>
    <w:rsid w:val="00D80BC5"/>
    <w:rsid w:val="00E06CA6"/>
    <w:rsid w:val="00F9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9EC0"/>
  <w15:docId w15:val="{088CE60D-455A-4A9B-8871-F6FAEB1F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宋体" w:eastAsia="宋体" w:hAnsi="宋体" w:cs="宋体"/>
      <w:lang w:eastAsia="zh-CN"/>
    </w:rPr>
  </w:style>
  <w:style w:type="paragraph" w:styleId="1">
    <w:name w:val="heading 1"/>
    <w:basedOn w:val="a"/>
    <w:uiPriority w:val="1"/>
    <w:qFormat/>
    <w:pPr>
      <w:ind w:left="118"/>
      <w:outlineLvl w:val="0"/>
    </w:pPr>
    <w:rPr>
      <w:rFonts w:ascii="Microsoft YaHei UI" w:eastAsia="Microsoft YaHei UI" w:hAnsi="Microsoft YaHei UI" w:cs="Microsoft YaHei U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8"/>
    </w:pPr>
    <w:rPr>
      <w:sz w:val="21"/>
      <w:szCs w:val="21"/>
    </w:rPr>
  </w:style>
  <w:style w:type="paragraph" w:styleId="a4">
    <w:name w:val="Title"/>
    <w:basedOn w:val="a"/>
    <w:uiPriority w:val="1"/>
    <w:qFormat/>
    <w:pPr>
      <w:spacing w:before="3"/>
      <w:ind w:left="2718" w:right="2811"/>
      <w:jc w:val="center"/>
    </w:pPr>
    <w:rPr>
      <w:rFonts w:ascii="微软雅黑" w:eastAsia="微软雅黑" w:hAnsi="微软雅黑" w:cs="微软雅黑"/>
      <w:b/>
      <w:bCs/>
      <w:sz w:val="28"/>
      <w:szCs w:val="28"/>
    </w:rPr>
  </w:style>
  <w:style w:type="paragraph" w:styleId="a5">
    <w:name w:val="List Paragraph"/>
    <w:basedOn w:val="a"/>
    <w:uiPriority w:val="1"/>
    <w:qFormat/>
    <w:pPr>
      <w:spacing w:before="130"/>
      <w:ind w:left="1079" w:hanging="541"/>
    </w:pPr>
  </w:style>
  <w:style w:type="paragraph" w:customStyle="1" w:styleId="TableParagraph">
    <w:name w:val="Table Paragraph"/>
    <w:basedOn w:val="a"/>
    <w:uiPriority w:val="1"/>
    <w:qFormat/>
  </w:style>
  <w:style w:type="paragraph" w:styleId="a6">
    <w:name w:val="header"/>
    <w:basedOn w:val="a"/>
    <w:link w:val="a7"/>
    <w:uiPriority w:val="99"/>
    <w:unhideWhenUsed/>
    <w:rsid w:val="00AF285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F2858"/>
    <w:rPr>
      <w:rFonts w:ascii="宋体" w:eastAsia="宋体" w:hAnsi="宋体" w:cs="宋体"/>
      <w:sz w:val="18"/>
      <w:szCs w:val="18"/>
      <w:lang w:eastAsia="zh-CN"/>
    </w:rPr>
  </w:style>
  <w:style w:type="paragraph" w:styleId="a8">
    <w:name w:val="footer"/>
    <w:basedOn w:val="a"/>
    <w:link w:val="a9"/>
    <w:uiPriority w:val="99"/>
    <w:unhideWhenUsed/>
    <w:rsid w:val="00AF2858"/>
    <w:pPr>
      <w:tabs>
        <w:tab w:val="center" w:pos="4153"/>
        <w:tab w:val="right" w:pos="8306"/>
      </w:tabs>
      <w:snapToGrid w:val="0"/>
    </w:pPr>
    <w:rPr>
      <w:sz w:val="18"/>
      <w:szCs w:val="18"/>
    </w:rPr>
  </w:style>
  <w:style w:type="character" w:customStyle="1" w:styleId="a9">
    <w:name w:val="页脚 字符"/>
    <w:basedOn w:val="a0"/>
    <w:link w:val="a8"/>
    <w:uiPriority w:val="99"/>
    <w:rsid w:val="00AF2858"/>
    <w:rPr>
      <w:rFonts w:ascii="宋体" w:eastAsia="宋体" w:hAnsi="宋体" w:cs="宋体"/>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宋莉</dc:creator>
  <cp:lastModifiedBy>yang junyu</cp:lastModifiedBy>
  <cp:revision>5</cp:revision>
  <dcterms:created xsi:type="dcterms:W3CDTF">2021-11-25T02:31:00Z</dcterms:created>
  <dcterms:modified xsi:type="dcterms:W3CDTF">2021-12-24T05:00:00Z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2021-07-08T00:00:00Z</vt:filetime>
  </property>
  <property fmtid="{D5CDD505-2E9C-101B-9397-08002B2CF9AE}" pid="3" name="Creator">
    <vt:lpwstr>Microsoft® Word 2013</vt:lpwstr>
  </property>
  <property fmtid="{D5CDD505-2E9C-101B-9397-08002B2CF9AE}" pid="4" name="LastSaved">
    <vt:filetime>2021-11-25T00:00:00Z</vt:filetime>
  </property>
</Properties>
</file>